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79" w:rsidRDefault="00395979" w:rsidP="00395979">
      <w:pPr>
        <w:pStyle w:val="Tabela"/>
        <w:rPr>
          <w:noProof/>
          <w:lang w:eastAsia="pt-BR"/>
        </w:rPr>
      </w:pPr>
      <w:bookmarkStart w:id="0" w:name="_Toc21964377"/>
      <w:r w:rsidRPr="00C70DD5">
        <w:rPr>
          <w:noProof/>
          <w:lang w:eastAsia="pt-BR"/>
        </w:rPr>
        <w:t xml:space="preserve">Tabela </w:t>
      </w:r>
      <w:r w:rsidR="00B3241C">
        <w:rPr>
          <w:noProof/>
          <w:lang w:eastAsia="pt-BR"/>
        </w:rPr>
        <w:t>50</w:t>
      </w:r>
      <w:r w:rsidRPr="00C70DD5">
        <w:rPr>
          <w:noProof/>
          <w:lang w:eastAsia="pt-BR"/>
        </w:rPr>
        <w:t xml:space="preserve"> - Programas de </w:t>
      </w:r>
      <w:r>
        <w:rPr>
          <w:noProof/>
          <w:lang w:eastAsia="pt-BR"/>
        </w:rPr>
        <w:t>b</w:t>
      </w:r>
      <w:r w:rsidRPr="00C70DD5">
        <w:rPr>
          <w:noProof/>
          <w:lang w:eastAsia="pt-BR"/>
        </w:rPr>
        <w:t xml:space="preserve">olsas de </w:t>
      </w:r>
      <w:r>
        <w:rPr>
          <w:noProof/>
          <w:lang w:eastAsia="pt-BR"/>
        </w:rPr>
        <w:t>p</w:t>
      </w:r>
      <w:r w:rsidRPr="00C70DD5">
        <w:rPr>
          <w:noProof/>
          <w:lang w:eastAsia="pt-BR"/>
        </w:rPr>
        <w:t>ós-</w:t>
      </w:r>
      <w:r>
        <w:rPr>
          <w:noProof/>
          <w:lang w:eastAsia="pt-BR"/>
        </w:rPr>
        <w:t>g</w:t>
      </w:r>
      <w:r w:rsidRPr="00C70DD5">
        <w:rPr>
          <w:noProof/>
          <w:lang w:eastAsia="pt-BR"/>
        </w:rPr>
        <w:t xml:space="preserve">raduação e de </w:t>
      </w:r>
      <w:r>
        <w:rPr>
          <w:noProof/>
          <w:lang w:eastAsia="pt-BR"/>
        </w:rPr>
        <w:t>p</w:t>
      </w:r>
      <w:r w:rsidRPr="00C70DD5">
        <w:rPr>
          <w:noProof/>
          <w:lang w:eastAsia="pt-BR"/>
        </w:rPr>
        <w:t>esquisa, 201</w:t>
      </w:r>
      <w:r>
        <w:rPr>
          <w:noProof/>
          <w:lang w:eastAsia="pt-BR"/>
        </w:rPr>
        <w:t>4</w:t>
      </w:r>
      <w:r w:rsidRPr="00C70DD5">
        <w:rPr>
          <w:noProof/>
          <w:lang w:eastAsia="pt-BR"/>
        </w:rPr>
        <w:t xml:space="preserve"> a 201</w:t>
      </w:r>
      <w:r>
        <w:rPr>
          <w:noProof/>
          <w:lang w:eastAsia="pt-BR"/>
        </w:rPr>
        <w:t>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92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7"/>
      </w:tblGrid>
      <w:tr w:rsidR="00395979" w:rsidRPr="00BB41EE" w:rsidTr="00EF3827">
        <w:trPr>
          <w:trHeight w:val="315"/>
        </w:trPr>
        <w:tc>
          <w:tcPr>
            <w:tcW w:w="1499" w:type="pct"/>
            <w:vMerge w:val="restart"/>
            <w:tcBorders>
              <w:top w:val="single" w:sz="8" w:space="0" w:color="EAF1DD"/>
              <w:left w:val="nil"/>
              <w:bottom w:val="single" w:sz="8" w:space="0" w:color="EAF1DD"/>
              <w:right w:val="single" w:sz="8" w:space="0" w:color="EAF1DD"/>
            </w:tcBorders>
            <w:shd w:val="clear" w:color="000000" w:fill="009900"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Órgãos/Programas</w:t>
            </w:r>
          </w:p>
        </w:tc>
        <w:tc>
          <w:tcPr>
            <w:tcW w:w="699" w:type="pct"/>
            <w:gridSpan w:val="2"/>
            <w:tcBorders>
              <w:top w:val="single" w:sz="8" w:space="0" w:color="EAF1DD"/>
              <w:left w:val="nil"/>
              <w:bottom w:val="single" w:sz="8" w:space="0" w:color="EAF1DD"/>
              <w:right w:val="single" w:sz="8" w:space="0" w:color="EAF1DD"/>
            </w:tcBorders>
            <w:shd w:val="clear" w:color="000000" w:fill="009900"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700" w:type="pct"/>
            <w:gridSpan w:val="2"/>
            <w:tcBorders>
              <w:top w:val="single" w:sz="8" w:space="0" w:color="EAF1DD"/>
              <w:left w:val="nil"/>
              <w:bottom w:val="single" w:sz="8" w:space="0" w:color="EAF1DD"/>
              <w:right w:val="single" w:sz="8" w:space="0" w:color="EAF1DD"/>
            </w:tcBorders>
            <w:shd w:val="clear" w:color="000000" w:fill="009900"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700" w:type="pct"/>
            <w:gridSpan w:val="2"/>
            <w:tcBorders>
              <w:top w:val="single" w:sz="8" w:space="0" w:color="EAF1DD"/>
              <w:left w:val="nil"/>
              <w:bottom w:val="single" w:sz="8" w:space="0" w:color="EAF1DD"/>
              <w:right w:val="single" w:sz="8" w:space="0" w:color="EAF1DD"/>
            </w:tcBorders>
            <w:shd w:val="clear" w:color="000000" w:fill="009900"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700" w:type="pct"/>
            <w:gridSpan w:val="2"/>
            <w:tcBorders>
              <w:top w:val="single" w:sz="8" w:space="0" w:color="EAF1DD"/>
              <w:left w:val="nil"/>
              <w:bottom w:val="single" w:sz="8" w:space="0" w:color="EAF1DD"/>
              <w:right w:val="nil"/>
            </w:tcBorders>
            <w:shd w:val="clear" w:color="000000" w:fill="009900"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700" w:type="pct"/>
            <w:gridSpan w:val="2"/>
            <w:tcBorders>
              <w:top w:val="single" w:sz="8" w:space="0" w:color="EAF1DD"/>
              <w:left w:val="single" w:sz="8" w:space="0" w:color="EAF1DD"/>
              <w:bottom w:val="single" w:sz="8" w:space="0" w:color="EAF1DD"/>
              <w:right w:val="nil"/>
            </w:tcBorders>
            <w:shd w:val="clear" w:color="000000" w:fill="009900"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2018</w:t>
            </w:r>
          </w:p>
        </w:tc>
      </w:tr>
      <w:tr w:rsidR="00395979" w:rsidRPr="00BB41EE" w:rsidTr="00EF3827">
        <w:trPr>
          <w:trHeight w:val="315"/>
        </w:trPr>
        <w:tc>
          <w:tcPr>
            <w:tcW w:w="1499" w:type="pct"/>
            <w:vMerge/>
            <w:tcBorders>
              <w:top w:val="single" w:sz="8" w:space="0" w:color="EAF1DD"/>
              <w:left w:val="nil"/>
              <w:bottom w:val="single" w:sz="8" w:space="0" w:color="EAF1DD"/>
              <w:right w:val="single" w:sz="8" w:space="0" w:color="EAF1DD"/>
            </w:tcBorders>
            <w:vAlign w:val="center"/>
            <w:hideMark/>
          </w:tcPr>
          <w:p w:rsidR="00395979" w:rsidRPr="00BB41EE" w:rsidRDefault="00395979" w:rsidP="00EF3827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EAF1DD"/>
            </w:tcBorders>
            <w:shd w:val="clear" w:color="000000" w:fill="009900"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1º Sem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009900"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2º Sem</w:t>
            </w:r>
          </w:p>
        </w:tc>
        <w:tc>
          <w:tcPr>
            <w:tcW w:w="350" w:type="pct"/>
            <w:tcBorders>
              <w:top w:val="nil"/>
              <w:left w:val="single" w:sz="8" w:space="0" w:color="EAF1DD"/>
              <w:bottom w:val="nil"/>
              <w:right w:val="single" w:sz="8" w:space="0" w:color="EAF1DD"/>
            </w:tcBorders>
            <w:shd w:val="clear" w:color="000000" w:fill="009900"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1º Sem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009900"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2º Sem</w:t>
            </w:r>
          </w:p>
        </w:tc>
        <w:tc>
          <w:tcPr>
            <w:tcW w:w="350" w:type="pct"/>
            <w:tcBorders>
              <w:top w:val="nil"/>
              <w:left w:val="single" w:sz="8" w:space="0" w:color="EAF1DD"/>
              <w:bottom w:val="nil"/>
              <w:right w:val="single" w:sz="8" w:space="0" w:color="EAF1DD"/>
            </w:tcBorders>
            <w:shd w:val="clear" w:color="000000" w:fill="009900"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1º Sem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009900"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2º Sem</w:t>
            </w:r>
          </w:p>
        </w:tc>
        <w:tc>
          <w:tcPr>
            <w:tcW w:w="350" w:type="pct"/>
            <w:tcBorders>
              <w:top w:val="nil"/>
              <w:left w:val="single" w:sz="8" w:space="0" w:color="EAF1DD"/>
              <w:bottom w:val="nil"/>
              <w:right w:val="single" w:sz="8" w:space="0" w:color="EAF1DD"/>
            </w:tcBorders>
            <w:shd w:val="clear" w:color="000000" w:fill="009900"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1º Sem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009900"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2º Sem</w:t>
            </w:r>
          </w:p>
        </w:tc>
        <w:tc>
          <w:tcPr>
            <w:tcW w:w="350" w:type="pct"/>
            <w:tcBorders>
              <w:top w:val="nil"/>
              <w:left w:val="single" w:sz="8" w:space="0" w:color="EAF1DD"/>
              <w:bottom w:val="nil"/>
              <w:right w:val="single" w:sz="8" w:space="0" w:color="EAF1DD"/>
            </w:tcBorders>
            <w:shd w:val="clear" w:color="000000" w:fill="009900"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1º Sem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009900"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FFFFFF"/>
                <w:sz w:val="14"/>
                <w:szCs w:val="16"/>
                <w:lang w:eastAsia="pt-BR"/>
              </w:rPr>
              <w:t>2º Sem</w:t>
            </w:r>
          </w:p>
        </w:tc>
      </w:tr>
      <w:tr w:rsidR="00395979" w:rsidRPr="00BB41EE" w:rsidTr="00EF3827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CAPES</w:t>
            </w:r>
          </w:p>
        </w:tc>
      </w:tr>
      <w:tr w:rsidR="00395979" w:rsidRPr="00BB41EE" w:rsidTr="00EF3827">
        <w:trPr>
          <w:trHeight w:val="690"/>
        </w:trPr>
        <w:tc>
          <w:tcPr>
            <w:tcW w:w="1499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vAlign w:val="center"/>
            <w:hideMark/>
          </w:tcPr>
          <w:p w:rsidR="00395979" w:rsidRPr="00BB41EE" w:rsidRDefault="00395979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Programa de Doutoramento no País com estágio no exterior (bolsa-sanduíche)²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395979" w:rsidRPr="00BB41EE" w:rsidTr="00EF3827">
        <w:trPr>
          <w:trHeight w:val="570"/>
        </w:trPr>
        <w:tc>
          <w:tcPr>
            <w:tcW w:w="1499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vAlign w:val="center"/>
            <w:hideMark/>
          </w:tcPr>
          <w:p w:rsidR="00395979" w:rsidRPr="00BB41EE" w:rsidRDefault="00395979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Programa de Estudante-Convênio de Pós-Graduação (PEC/PG)¹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395979" w:rsidRPr="00BB41EE" w:rsidTr="00EF3827">
        <w:trPr>
          <w:trHeight w:val="465"/>
        </w:trPr>
        <w:tc>
          <w:tcPr>
            <w:tcW w:w="1499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vAlign w:val="center"/>
            <w:hideMark/>
          </w:tcPr>
          <w:p w:rsidR="00395979" w:rsidRPr="00BB41EE" w:rsidRDefault="00395979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Programa de Demanda Social Mestrado e Doutorado (CAPES)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1572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1581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1575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1560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1561</w:t>
            </w:r>
          </w:p>
        </w:tc>
      </w:tr>
      <w:tr w:rsidR="00395979" w:rsidRPr="00BB41EE" w:rsidTr="00EF3827">
        <w:trPr>
          <w:trHeight w:val="465"/>
        </w:trPr>
        <w:tc>
          <w:tcPr>
            <w:tcW w:w="1499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vAlign w:val="center"/>
            <w:hideMark/>
          </w:tcPr>
          <w:p w:rsidR="00395979" w:rsidRPr="00BB41EE" w:rsidRDefault="00395979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REUNI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395979" w:rsidRPr="00BB41EE" w:rsidTr="00EF3827">
        <w:trPr>
          <w:trHeight w:val="465"/>
        </w:trPr>
        <w:tc>
          <w:tcPr>
            <w:tcW w:w="1499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vAlign w:val="center"/>
            <w:hideMark/>
          </w:tcPr>
          <w:p w:rsidR="00395979" w:rsidRPr="00BB41EE" w:rsidRDefault="00395979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PNPD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395979" w:rsidRPr="00BB41EE" w:rsidTr="00EF3827">
        <w:trPr>
          <w:trHeight w:val="465"/>
        </w:trPr>
        <w:tc>
          <w:tcPr>
            <w:tcW w:w="1499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vAlign w:val="center"/>
            <w:hideMark/>
          </w:tcPr>
          <w:p w:rsidR="00395979" w:rsidRPr="00BB41EE" w:rsidRDefault="00395979" w:rsidP="00EF382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CNPq (mestrado e Doutorado)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520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395979" w:rsidRPr="00BB41EE" w:rsidTr="00EF3827">
        <w:trPr>
          <w:trHeight w:val="465"/>
        </w:trPr>
        <w:tc>
          <w:tcPr>
            <w:tcW w:w="5000" w:type="pct"/>
            <w:gridSpan w:val="11"/>
            <w:tcBorders>
              <w:top w:val="single" w:sz="8" w:space="0" w:color="C2D69A"/>
              <w:left w:val="nil"/>
              <w:bottom w:val="single" w:sz="8" w:space="0" w:color="C2D69A"/>
              <w:right w:val="nil"/>
            </w:tcBorders>
            <w:shd w:val="clear" w:color="auto" w:fill="auto"/>
            <w:vAlign w:val="center"/>
            <w:hideMark/>
          </w:tcPr>
          <w:p w:rsidR="00395979" w:rsidRPr="00BB41EE" w:rsidRDefault="00395979" w:rsidP="00EF382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UnB</w:t>
            </w:r>
          </w:p>
        </w:tc>
      </w:tr>
      <w:tr w:rsidR="00395979" w:rsidRPr="00BB41EE" w:rsidTr="00EF3827">
        <w:trPr>
          <w:trHeight w:val="315"/>
        </w:trPr>
        <w:tc>
          <w:tcPr>
            <w:tcW w:w="1499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vAlign w:val="center"/>
            <w:hideMark/>
          </w:tcPr>
          <w:p w:rsidR="00395979" w:rsidRPr="00BB41EE" w:rsidRDefault="00395979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Programa de Bolsas de Monitoria II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350" w:type="pct"/>
            <w:tcBorders>
              <w:top w:val="nil"/>
              <w:left w:val="single" w:sz="8" w:space="0" w:color="C2D69A"/>
              <w:bottom w:val="single" w:sz="8" w:space="0" w:color="C2D69A"/>
              <w:right w:val="single" w:sz="8" w:space="0" w:color="C2D69A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395979" w:rsidRPr="00BB41EE" w:rsidTr="00EF3827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C2D69A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Fonte: DPG e </w:t>
            </w:r>
            <w:proofErr w:type="spellStart"/>
            <w:r w:rsidRPr="00BB41EE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Geocapes</w:t>
            </w:r>
            <w:proofErr w:type="spellEnd"/>
            <w:r w:rsidRPr="00BB41EE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(dados Estatísticos da CAPES) </w:t>
            </w:r>
          </w:p>
        </w:tc>
      </w:tr>
      <w:tr w:rsidR="00395979" w:rsidRPr="00BB41EE" w:rsidTr="00EF3827">
        <w:trPr>
          <w:trHeight w:val="315"/>
        </w:trPr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979" w:rsidRPr="00BB41EE" w:rsidRDefault="00395979" w:rsidP="00EF3827">
            <w:pPr>
              <w:rPr>
                <w:rFonts w:eastAsia="Times New Roman" w:cs="Times New Roman"/>
                <w:color w:val="000000"/>
                <w:sz w:val="14"/>
                <w:szCs w:val="14"/>
                <w:u w:val="single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4"/>
                <w:szCs w:val="14"/>
                <w:u w:val="single"/>
                <w:lang w:eastAsia="pt-BR"/>
              </w:rPr>
              <w:t xml:space="preserve">Notas: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95979" w:rsidRPr="00BB41EE" w:rsidTr="00EF3827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1) A concessão de bolsas para o Programa PEC/PG é feita uma vez ao ano, sempre no primeiro semestre.</w:t>
            </w:r>
          </w:p>
        </w:tc>
      </w:tr>
      <w:tr w:rsidR="00395979" w:rsidRPr="00BB41EE" w:rsidTr="00EF3827">
        <w:trPr>
          <w:trHeight w:val="315"/>
        </w:trPr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79" w:rsidRPr="00BB41EE" w:rsidRDefault="00395979" w:rsidP="00EF3827">
            <w:pP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BB41EE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2) Cota CAPES;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79" w:rsidRPr="00BB41EE" w:rsidRDefault="0039597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395979" w:rsidRDefault="00395979" w:rsidP="00395979">
      <w:pPr>
        <w:pStyle w:val="Grafico"/>
        <w:jc w:val="center"/>
        <w:rPr>
          <w:noProof/>
          <w:lang w:eastAsia="pt-BR"/>
        </w:rPr>
      </w:pPr>
    </w:p>
    <w:p w:rsidR="00C9145F" w:rsidRPr="00A32F1E" w:rsidRDefault="00C9145F"/>
    <w:sectPr w:rsidR="00C9145F" w:rsidRPr="00A32F1E" w:rsidSect="00395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16481F"/>
    <w:rsid w:val="00191D20"/>
    <w:rsid w:val="001C351B"/>
    <w:rsid w:val="001E0898"/>
    <w:rsid w:val="002456CE"/>
    <w:rsid w:val="00295F26"/>
    <w:rsid w:val="002C5C09"/>
    <w:rsid w:val="00395979"/>
    <w:rsid w:val="0041491D"/>
    <w:rsid w:val="00424A60"/>
    <w:rsid w:val="0049646B"/>
    <w:rsid w:val="004A3B9D"/>
    <w:rsid w:val="004D774E"/>
    <w:rsid w:val="004E2A70"/>
    <w:rsid w:val="00522883"/>
    <w:rsid w:val="005748EB"/>
    <w:rsid w:val="00695C84"/>
    <w:rsid w:val="006A343C"/>
    <w:rsid w:val="00700F16"/>
    <w:rsid w:val="007A79B2"/>
    <w:rsid w:val="007F25B4"/>
    <w:rsid w:val="007F495F"/>
    <w:rsid w:val="007F506C"/>
    <w:rsid w:val="009146BA"/>
    <w:rsid w:val="0092294C"/>
    <w:rsid w:val="009D79D7"/>
    <w:rsid w:val="009E21D1"/>
    <w:rsid w:val="00A32F1E"/>
    <w:rsid w:val="00AC1124"/>
    <w:rsid w:val="00B12242"/>
    <w:rsid w:val="00B3241C"/>
    <w:rsid w:val="00C64E51"/>
    <w:rsid w:val="00C9145F"/>
    <w:rsid w:val="00D94C7C"/>
    <w:rsid w:val="00D968C9"/>
    <w:rsid w:val="00DC6230"/>
    <w:rsid w:val="00E7304B"/>
    <w:rsid w:val="00EA6712"/>
    <w:rsid w:val="00EC189C"/>
    <w:rsid w:val="00ED0C15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2020-01-20T13:49:00Z</dcterms:created>
  <dcterms:modified xsi:type="dcterms:W3CDTF">2020-01-20T17:03:00Z</dcterms:modified>
</cp:coreProperties>
</file>