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44"/>
        <w:gridCol w:w="1466"/>
        <w:gridCol w:w="1255"/>
        <w:gridCol w:w="979"/>
      </w:tblGrid>
      <w:tr w:rsidR="003461A2" w:rsidRPr="00121FD1" w:rsidTr="00EF3827">
        <w:trPr>
          <w:trHeight w:val="255"/>
          <w:tblHeader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B4658B">
            <w:pPr>
              <w:pStyle w:val="Tabela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bookmarkStart w:id="0" w:name="_Toc21964448"/>
            <w:r w:rsidRPr="00121FD1">
              <w:t xml:space="preserve">Tabela </w:t>
            </w:r>
            <w:r w:rsidR="00B4658B">
              <w:t>116</w:t>
            </w:r>
            <w:r w:rsidRPr="00121FD1">
              <w:t xml:space="preserve"> - Acervo da BCE, 2018</w:t>
            </w:r>
            <w:bookmarkEnd w:id="0"/>
          </w:p>
        </w:tc>
      </w:tr>
      <w:tr w:rsidR="003461A2" w:rsidRPr="00121FD1" w:rsidTr="00EF3827">
        <w:trPr>
          <w:trHeight w:val="255"/>
          <w:tblHeader/>
        </w:trPr>
        <w:tc>
          <w:tcPr>
            <w:tcW w:w="2701" w:type="pct"/>
            <w:vMerge w:val="restart"/>
            <w:tcBorders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center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299" w:type="pct"/>
            <w:gridSpan w:val="3"/>
            <w:tcBorders>
              <w:left w:val="nil"/>
              <w:bottom w:val="single" w:sz="8" w:space="0" w:color="E5E0EC"/>
              <w:right w:val="nil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3461A2" w:rsidRPr="00121FD1" w:rsidTr="00EF3827">
        <w:trPr>
          <w:trHeight w:val="255"/>
          <w:tblHeader/>
        </w:trPr>
        <w:tc>
          <w:tcPr>
            <w:tcW w:w="2701" w:type="pct"/>
            <w:vMerge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vAlign w:val="center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Títulos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Exemplares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E5E0EC"/>
              <w:right w:val="nil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Ex. </w:t>
            </w:r>
            <w:proofErr w:type="spellStart"/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Adic</w:t>
            </w:r>
            <w:proofErr w:type="spellEnd"/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</w:p>
        </w:tc>
      </w:tr>
      <w:tr w:rsidR="003461A2" w:rsidRPr="00121FD1" w:rsidTr="00EF3827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E5E0EC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Acervo Biblioteca Central por Tipo de Material¹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Álbum de figurinhas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Artigo de Periódico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2.810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Atlas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Áudio cassete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4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Cartazes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Catálogos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1.440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89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 Periódicos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3.274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3.723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Disquetes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19.950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31.730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285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 em formato digital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15.761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DVDs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27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6.512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8.673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22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Fotografia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Gravação de Vídeo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2.417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3.742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Jogos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338.946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564.588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3.119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Manuscrito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Mapas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1.552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1.609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 eletrônicos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550.115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Microforma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1.535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Microforma - Monografia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Monografias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Monografias em formato digital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21.791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Original de Arte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Partitura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10.926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925.777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167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Quadrinhos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1.121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Reprodução de ART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8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Slides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8.724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11.179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 em formato digital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5.388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991.019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1.557.114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3.741</w:t>
            </w:r>
          </w:p>
        </w:tc>
      </w:tr>
      <w:tr w:rsidR="003461A2" w:rsidRPr="00121FD1" w:rsidTr="00EF38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Acervo Biblioteca Planaltina por Tipo de Material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4.433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8.068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DVDs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Gravação de Vídeo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FFF2CC" w:fill="FFFFFF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4.510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8.333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181</w:t>
            </w:r>
          </w:p>
        </w:tc>
      </w:tr>
      <w:tr w:rsidR="003461A2" w:rsidRPr="00121FD1" w:rsidTr="00EF38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Acervo Biblioteca </w:t>
            </w:r>
            <w:proofErr w:type="spellStart"/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por tipo de Material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1.477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8.324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574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DVDs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11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Artigo de Periódico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Gravação de Vídeo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1.524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8.591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585</w:t>
            </w:r>
          </w:p>
        </w:tc>
      </w:tr>
      <w:tr w:rsidR="003461A2" w:rsidRPr="00121FD1" w:rsidTr="00EF38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Acervo Biblioteca Gama por tipo de Material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1.258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4.810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1.656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5.264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123</w:t>
            </w:r>
          </w:p>
        </w:tc>
      </w:tr>
      <w:tr w:rsidR="003461A2" w:rsidRPr="00121FD1" w:rsidTr="00EF382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Acervo Biblioteca Darcy Ribeiro por tipo de Material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4.191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5.906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Monografia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4.440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6.204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24</w:t>
            </w:r>
          </w:p>
        </w:tc>
      </w:tr>
      <w:tr w:rsidR="003461A2" w:rsidRPr="00121FD1" w:rsidTr="00EF3827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E5E0EC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Acervo Biblioteca CEDIARTE por tipo de Material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2.812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3.812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3.150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7.942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E5E0EC"/>
            </w:tcBorders>
            <w:shd w:val="clear" w:color="5F497A" w:fill="60497B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76</w:t>
            </w:r>
          </w:p>
        </w:tc>
      </w:tr>
      <w:tr w:rsidR="003461A2" w:rsidRPr="00121FD1" w:rsidTr="00EF3827">
        <w:trPr>
          <w:trHeight w:val="270"/>
        </w:trPr>
        <w:tc>
          <w:tcPr>
            <w:tcW w:w="5000" w:type="pct"/>
            <w:gridSpan w:val="4"/>
            <w:tcBorders>
              <w:top w:val="single" w:sz="8" w:space="0" w:color="E5E0EC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Biblioteca Digital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Uso das bases de dados da CAPES</w:t>
            </w:r>
          </w:p>
        </w:tc>
        <w:tc>
          <w:tcPr>
            <w:tcW w:w="2299" w:type="pct"/>
            <w:gridSpan w:val="3"/>
            <w:tcBorders>
              <w:top w:val="single" w:sz="8" w:space="0" w:color="7030A0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Número de acessos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Pesquisa Abstract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937.981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Download de textos (</w:t>
            </w:r>
            <w:proofErr w:type="spellStart"/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html</w:t>
            </w:r>
            <w:proofErr w:type="spellEnd"/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+ </w:t>
            </w:r>
            <w:proofErr w:type="spellStart"/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pdf</w:t>
            </w:r>
            <w:proofErr w:type="spellEnd"/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649.373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Uso das bibliotecas digitais da BCE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Repositório Institucional da UnB - Consultas</w:t>
            </w:r>
          </w:p>
        </w:tc>
        <w:tc>
          <w:tcPr>
            <w:tcW w:w="929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2.455.630</w:t>
            </w:r>
          </w:p>
        </w:tc>
        <w:tc>
          <w:tcPr>
            <w:tcW w:w="784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Repositório Institucional da UnB - Downloads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5.178.136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Repositório Institucional da UnB -Teses / Dissertações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1800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Monografias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Aquisição BCE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Compra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2848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4145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Folhetos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Catálogos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Dissertações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Teses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Periódicos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3564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Jogos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DVDs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Artigo de Periódico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Manuscrito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Disco (Vinil)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Gravação de Vídeo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CD-ROM Periódicos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Quadrinhos</w:t>
            </w:r>
          </w:p>
        </w:tc>
        <w:tc>
          <w:tcPr>
            <w:tcW w:w="929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84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586" w:type="pct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7.641.181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8.425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Doação incorporada ao acervo</w:t>
            </w:r>
          </w:p>
        </w:tc>
        <w:tc>
          <w:tcPr>
            <w:tcW w:w="2299" w:type="pct"/>
            <w:gridSpan w:val="3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Exemplares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Títulos novos e exemplares adicionais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3247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Negociação e Reposição de livros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3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.</w:t>
            </w: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Permuta</w:t>
            </w:r>
          </w:p>
        </w:tc>
        <w:tc>
          <w:tcPr>
            <w:tcW w:w="2299" w:type="pct"/>
            <w:gridSpan w:val="3"/>
            <w:tcBorders>
              <w:top w:val="single" w:sz="8" w:space="0" w:color="E5E0EC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Exemplares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Títulos enviados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Títulos recebidos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70"/>
        </w:trPr>
        <w:tc>
          <w:tcPr>
            <w:tcW w:w="2701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5F497A"/>
            <w:noWrap/>
            <w:vAlign w:val="bottom"/>
            <w:hideMark/>
          </w:tcPr>
          <w:p w:rsidR="003461A2" w:rsidRPr="00121FD1" w:rsidRDefault="003461A2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-</w:t>
            </w: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i/>
                <w:iCs/>
                <w:color w:val="000000"/>
                <w:sz w:val="16"/>
                <w:szCs w:val="20"/>
                <w:lang w:eastAsia="pt-BR"/>
              </w:rPr>
              <w:t>Fonte: BCE/UnB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461A2" w:rsidRPr="00121FD1" w:rsidTr="00EF3827">
        <w:trPr>
          <w:trHeight w:val="25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20"/>
                <w:u w:val="single"/>
                <w:lang w:eastAsia="pt-BR"/>
              </w:rPr>
            </w:pPr>
            <w:r w:rsidRPr="00121FD1">
              <w:rPr>
                <w:rFonts w:eastAsia="Times New Roman" w:cs="Arial"/>
                <w:i/>
                <w:iCs/>
                <w:color w:val="000000"/>
                <w:sz w:val="16"/>
                <w:szCs w:val="20"/>
                <w:u w:val="single"/>
                <w:lang w:eastAsia="pt-BR"/>
              </w:rPr>
              <w:t>Notas: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461A2" w:rsidRPr="00121FD1" w:rsidTr="00EF3827">
        <w:trPr>
          <w:trHeight w:val="255"/>
        </w:trPr>
        <w:tc>
          <w:tcPr>
            <w:tcW w:w="4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20"/>
                <w:lang w:eastAsia="pt-BR"/>
              </w:rPr>
            </w:pPr>
            <w:r w:rsidRPr="00121FD1">
              <w:rPr>
                <w:rFonts w:eastAsia="Times New Roman" w:cs="Arial"/>
                <w:i/>
                <w:iCs/>
                <w:color w:val="000000"/>
                <w:sz w:val="16"/>
                <w:szCs w:val="20"/>
                <w:lang w:eastAsia="pt-BR"/>
              </w:rPr>
              <w:t>1) A Coleção Médica, no HUB, está incluída na estatística do Acervo Geral.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A2" w:rsidRPr="00121FD1" w:rsidRDefault="003461A2" w:rsidP="00EF382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B0D81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4658B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2020-01-20T14:16:00Z</dcterms:created>
  <dcterms:modified xsi:type="dcterms:W3CDTF">2020-01-20T17:23:00Z</dcterms:modified>
</cp:coreProperties>
</file>