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1"/>
        <w:gridCol w:w="1065"/>
        <w:gridCol w:w="1065"/>
        <w:gridCol w:w="1065"/>
        <w:gridCol w:w="1065"/>
        <w:gridCol w:w="1063"/>
      </w:tblGrid>
      <w:tr w:rsidR="00445116" w:rsidRPr="00121FD1" w:rsidTr="00EF3827">
        <w:trPr>
          <w:trHeight w:val="285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116" w:rsidRPr="00121FD1" w:rsidRDefault="00445116" w:rsidP="00C116E4">
            <w:pPr>
              <w:pStyle w:val="Tabela"/>
              <w:rPr>
                <w:rFonts w:eastAsia="Times New Roman" w:cs="Arial"/>
                <w:b w:val="0"/>
                <w:bCs/>
                <w:sz w:val="20"/>
                <w:szCs w:val="20"/>
                <w:lang w:eastAsia="pt-BR"/>
              </w:rPr>
            </w:pPr>
            <w:bookmarkStart w:id="0" w:name="_Toc21964447"/>
            <w:r w:rsidRPr="00121FD1">
              <w:t xml:space="preserve">Tabela </w:t>
            </w:r>
            <w:r w:rsidR="00C116E4">
              <w:t>115</w:t>
            </w:r>
            <w:r w:rsidRPr="00121FD1">
              <w:t xml:space="preserve"> - Evolução dos </w:t>
            </w:r>
            <w:r>
              <w:t>s</w:t>
            </w:r>
            <w:r w:rsidRPr="00121FD1">
              <w:t xml:space="preserve">erviços </w:t>
            </w:r>
            <w:r>
              <w:t>p</w:t>
            </w:r>
            <w:r w:rsidRPr="00121FD1">
              <w:t>restados pela BCE, 2014 a 2018</w:t>
            </w:r>
            <w:r w:rsidR="005A0B24">
              <w:rPr>
                <w:rFonts w:eastAsia="Times New Roman" w:cs="Arial"/>
                <w:b w:val="0"/>
                <w:bCs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left:0;text-align:left;margin-left:0;margin-top:-14.25pt;width:750pt;height:750pt;z-index:251660288;visibility:hidden;mso-position-horizontal-relative:text;mso-position-vertical-relative:text">
                  <o:lock v:ext="edit" selection="t"/>
                </v:shape>
              </w:pict>
            </w:r>
            <w:r w:rsidR="005A0B24">
              <w:rPr>
                <w:rFonts w:eastAsia="Times New Roman" w:cs="Arial"/>
                <w:b w:val="0"/>
                <w:bCs/>
                <w:sz w:val="20"/>
                <w:szCs w:val="20"/>
                <w:lang w:eastAsia="pt-BR"/>
              </w:rPr>
              <w:pict>
                <v:shape id="_x0000_s1027" type="#_x0000_t202" style="position:absolute;left:0;text-align:left;margin-left:0;margin-top:-14.25pt;width:750pt;height:750pt;z-index:251661312;visibility:hidden;mso-position-horizontal-relative:text;mso-position-vertical-relative:text">
                  <o:lock v:ext="edit" selection="t"/>
                </v:shape>
              </w:pict>
            </w:r>
            <w:r w:rsidR="005A0B24">
              <w:rPr>
                <w:rFonts w:eastAsia="Times New Roman" w:cs="Arial"/>
                <w:b w:val="0"/>
                <w:bCs/>
                <w:sz w:val="20"/>
                <w:szCs w:val="20"/>
                <w:lang w:eastAsia="pt-BR"/>
              </w:rPr>
              <w:pict>
                <v:shape id="_x0000_s1028" type="#_x0000_t202" style="position:absolute;left:0;text-align:left;margin-left:0;margin-top:-14.25pt;width:750pt;height:750pt;z-index:251662336;visibility:hidden;mso-position-horizontal-relative:text;mso-position-vertical-relative:text">
                  <o:lock v:ext="edit" selection="t"/>
                </v:shape>
              </w:pict>
            </w:r>
            <w:bookmarkEnd w:id="0"/>
          </w:p>
        </w:tc>
      </w:tr>
      <w:tr w:rsidR="00445116" w:rsidRPr="00121FD1" w:rsidTr="00EF3827">
        <w:trPr>
          <w:trHeight w:val="285"/>
          <w:tblHeader/>
        </w:trPr>
        <w:tc>
          <w:tcPr>
            <w:tcW w:w="1921" w:type="pct"/>
            <w:tcBorders>
              <w:top w:val="nil"/>
              <w:left w:val="nil"/>
              <w:bottom w:val="nil"/>
              <w:right w:val="single" w:sz="8" w:space="0" w:color="E5E0EC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614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2018</w:t>
            </w:r>
          </w:p>
        </w:tc>
      </w:tr>
      <w:tr w:rsidR="00445116" w:rsidRPr="00121FD1" w:rsidTr="00EF3827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noWrap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Atendimento ao Público - Empréstimo por tipo de material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Livros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384.988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332.540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344.043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489.641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271.387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Periódicos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1.049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854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412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nil"/>
              <w:right w:val="single" w:sz="8" w:space="0" w:color="E5E0EC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386.037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332.930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344.719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490.495</w:t>
            </w:r>
          </w:p>
        </w:tc>
        <w:tc>
          <w:tcPr>
            <w:tcW w:w="614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271.799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 Categoria de Usuário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616" w:type="pct"/>
            <w:tcBorders>
              <w:top w:val="single" w:sz="8" w:space="0" w:color="60497B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338.972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264.302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270.033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285.010</w:t>
            </w:r>
          </w:p>
        </w:tc>
        <w:tc>
          <w:tcPr>
            <w:tcW w:w="614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211.417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Pós-Graduação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58.266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48.075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49.756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51.258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54.846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Servidores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11.800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8.007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8.627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8.320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6.817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Professores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11.925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8.998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8.465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10.522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7.251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Ex-Alunos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9.832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6.843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6.252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4.950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4.660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Usuário Externo (Instituições cadastradas)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349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nil"/>
              <w:right w:val="single" w:sz="8" w:space="0" w:color="E5E0EC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430.968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336.421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343.405</w:t>
            </w:r>
          </w:p>
        </w:tc>
        <w:tc>
          <w:tcPr>
            <w:tcW w:w="616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360.312</w:t>
            </w:r>
          </w:p>
        </w:tc>
        <w:tc>
          <w:tcPr>
            <w:tcW w:w="614" w:type="pct"/>
            <w:tcBorders>
              <w:top w:val="nil"/>
              <w:left w:val="single" w:sz="8" w:space="0" w:color="E5E0EC"/>
              <w:bottom w:val="nil"/>
              <w:right w:val="nil"/>
            </w:tcBorders>
            <w:shd w:val="clear" w:color="5F497A" w:fill="60497B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285.340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Consulta ao acervo de Coleções Especiais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193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Consulta ao acervo da Sala de Reserva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4.299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2.670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6.322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11.137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Balcão de Informações (Referência)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7.496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Pesquisa Bibliográfica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3.792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ND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ND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FFF2CC" w:fill="FFFFFF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2.612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Treinamentos / Visitas Orientadas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106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Atendimento via e-mail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3.996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3.380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3.794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1.033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1.520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Bases de dados (acessos)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CAPES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1.917.421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1.463.395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1.267.965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FFF2CC" w:fill="FFFFFF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1.582.123</w:t>
            </w:r>
          </w:p>
        </w:tc>
        <w:tc>
          <w:tcPr>
            <w:tcW w:w="614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FFF2CC" w:fill="FFFFFF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1.587.354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ABNT Coleção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2.126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3.141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4.259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ND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ND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ACADEMIC SEARCH ULTIMATE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13.995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BEST PRACTICE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8.784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BIBLIOTECA VIRTUAL UNIVERSITÁRIA DA PEARSON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5.571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DYNAMED PLUS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EBOOK ACADEMIC COLLECTION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12.670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EBOOK CENTRAL (ANTIGA EBRARY)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3.620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4.346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5.405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4.888 </w:t>
            </w:r>
          </w:p>
        </w:tc>
        <w:tc>
          <w:tcPr>
            <w:tcW w:w="614" w:type="pct"/>
            <w:tcBorders>
              <w:top w:val="single" w:sz="8" w:space="0" w:color="7030A0"/>
              <w:left w:val="single" w:sz="8" w:space="0" w:color="7030A0"/>
              <w:bottom w:val="single" w:sz="8" w:space="0" w:color="7030A0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4.579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EDS (EBSCO DISCOVERY SERVICE)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7030A0"/>
              <w:bottom w:val="single" w:sz="8" w:space="0" w:color="7030A0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</w:tr>
      <w:tr w:rsidR="00445116" w:rsidRPr="00121FD1" w:rsidTr="00EF3827">
        <w:trPr>
          <w:trHeight w:val="1204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EEB (EARLY EUROPEAN BOOKS)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206 </w:t>
            </w:r>
          </w:p>
        </w:tc>
        <w:tc>
          <w:tcPr>
            <w:tcW w:w="614" w:type="pct"/>
            <w:tcBorders>
              <w:top w:val="nil"/>
              <w:left w:val="single" w:sz="8" w:space="0" w:color="7030A0"/>
              <w:bottom w:val="single" w:sz="8" w:space="0" w:color="7030A0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16"/>
                <w:szCs w:val="20"/>
                <w:lang w:eastAsia="pt-BR"/>
              </w:rPr>
              <w:t xml:space="preserve">Número de acessos está incluso no número de acessos à </w:t>
            </w:r>
            <w:proofErr w:type="spellStart"/>
            <w:r w:rsidRPr="00121FD1">
              <w:rPr>
                <w:rFonts w:eastAsia="Times New Roman" w:cs="Arial"/>
                <w:sz w:val="16"/>
                <w:szCs w:val="20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sz w:val="16"/>
                <w:szCs w:val="20"/>
                <w:lang w:eastAsia="pt-BR"/>
              </w:rPr>
              <w:t xml:space="preserve">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val="en-US"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val="en-US" w:eastAsia="pt-BR"/>
              </w:rPr>
              <w:t>EEBO (EARLY ENGLISH BOOKS ONLINE)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val="en-US" w:eastAsia="pt-BR"/>
              </w:rPr>
              <w:t xml:space="preserve"> </w:t>
            </w: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1.776 </w:t>
            </w:r>
          </w:p>
        </w:tc>
        <w:tc>
          <w:tcPr>
            <w:tcW w:w="614" w:type="pct"/>
            <w:tcBorders>
              <w:top w:val="nil"/>
              <w:left w:val="single" w:sz="8" w:space="0" w:color="7030A0"/>
              <w:bottom w:val="single" w:sz="8" w:space="0" w:color="7030A0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2.643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HEIN ONLINE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2.902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4.372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14.193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5.802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3.576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JSTOR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17.937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LEXISNEXIS ACADEMIC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521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2.461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11.249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MICROPALEONTOLOGY PRESS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MINHA BIBLIOTECA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228.230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OXFORD SCHOLARSHIP ONLINE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1.342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334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PROQUEST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29.255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20.651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52.223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32.350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17.897*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RT ONLINE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4.706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TARGET GEDWEB (NORMAS)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2.502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UPTODATE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7.830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7.350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ND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Comutação Bibliográfica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Pedidos de cópias recebidos de outras instituições</w:t>
            </w:r>
          </w:p>
        </w:tc>
        <w:tc>
          <w:tcPr>
            <w:tcW w:w="616" w:type="pct"/>
            <w:tcBorders>
              <w:top w:val="single" w:sz="8" w:space="0" w:color="60497B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173 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144 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100 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  61 </w:t>
            </w:r>
          </w:p>
        </w:tc>
        <w:tc>
          <w:tcPr>
            <w:tcW w:w="614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  85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Pedidos de cópias solicitados a outras instituições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120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  21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  24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  20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  78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de cópias fornecidas a outras instituições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4.094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3.801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4.181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3.454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3.518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de cópias recebidas de outras instituições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2.400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296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320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1.792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1.038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Informações Adicionais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de dias de funcionamento</w:t>
            </w:r>
          </w:p>
        </w:tc>
        <w:tc>
          <w:tcPr>
            <w:tcW w:w="616" w:type="pct"/>
            <w:tcBorders>
              <w:top w:val="single" w:sz="8" w:space="0" w:color="60497B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300 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200 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284 </w:t>
            </w:r>
          </w:p>
        </w:tc>
        <w:tc>
          <w:tcPr>
            <w:tcW w:w="616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323 </w:t>
            </w:r>
          </w:p>
        </w:tc>
        <w:tc>
          <w:tcPr>
            <w:tcW w:w="614" w:type="pct"/>
            <w:tcBorders>
              <w:top w:val="single" w:sz="8" w:space="0" w:color="60497B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  310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de leitores cadastrados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66.799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66.189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69.553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76.445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55.150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Frequência de usuários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600.000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568.000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646.000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620.000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Média de frequência por dia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3.000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3.200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2.000 </w:t>
            </w:r>
          </w:p>
        </w:tc>
        <w:tc>
          <w:tcPr>
            <w:tcW w:w="616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2.000 </w:t>
            </w:r>
          </w:p>
        </w:tc>
        <w:tc>
          <w:tcPr>
            <w:tcW w:w="614" w:type="pct"/>
            <w:tcBorders>
              <w:top w:val="nil"/>
              <w:left w:val="single" w:sz="8" w:space="0" w:color="60497B"/>
              <w:bottom w:val="single" w:sz="8" w:space="0" w:color="60497B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jc w:val="righ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21FD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        2.000 </w:t>
            </w: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21FD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t-BR"/>
              </w:rPr>
              <w:t>Fonte: BCE/UnB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i/>
                <w:iCs/>
                <w:color w:val="000000"/>
                <w:sz w:val="16"/>
                <w:szCs w:val="16"/>
                <w:u w:val="single"/>
                <w:lang w:eastAsia="pt-BR"/>
              </w:rPr>
            </w:pPr>
            <w:r w:rsidRPr="00121FD1">
              <w:rPr>
                <w:rFonts w:eastAsia="Times New Roman" w:cs="Arial"/>
                <w:i/>
                <w:iCs/>
                <w:color w:val="000000"/>
                <w:sz w:val="16"/>
                <w:szCs w:val="16"/>
                <w:u w:val="single"/>
                <w:lang w:eastAsia="pt-BR"/>
              </w:rPr>
              <w:t>Notas: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445116" w:rsidRPr="00121FD1" w:rsidTr="00EF3827">
        <w:trPr>
          <w:trHeight w:val="285"/>
        </w:trPr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ND: Não disponível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  <w:tr w:rsidR="00445116" w:rsidRPr="00121FD1" w:rsidTr="00EF3827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116" w:rsidRPr="00121FD1" w:rsidRDefault="00445116" w:rsidP="00EF3827">
            <w:pP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* Os valores da base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consideram as consultas feitas na plataforma central e inclui as coleções assinadas pela UnB: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Research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Library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;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SciTech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Premium;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Social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Science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Journals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;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Dissertations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Theses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Global (PQDT) e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Early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European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Books (EEB). Os valores para a coleção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Early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English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Books Online (EEBO) estão separados, pois a base ainda não foi migrada para a plataforma central da </w:t>
            </w:r>
            <w:proofErr w:type="spellStart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ProQuest</w:t>
            </w:r>
            <w:proofErr w:type="spellEnd"/>
            <w:r w:rsidRPr="00121FD1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 A perspectiva é que a base EEBO seja migrada em 2019.</w:t>
            </w:r>
          </w:p>
        </w:tc>
      </w:tr>
    </w:tbl>
    <w:p w:rsidR="00C9145F" w:rsidRPr="005D3101" w:rsidRDefault="00C9145F" w:rsidP="005D3101"/>
    <w:sectPr w:rsidR="00C9145F" w:rsidRPr="005D3101" w:rsidSect="001E5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1612A5"/>
    <w:rsid w:val="0016481F"/>
    <w:rsid w:val="00191D20"/>
    <w:rsid w:val="001C042E"/>
    <w:rsid w:val="001C351B"/>
    <w:rsid w:val="001D1D03"/>
    <w:rsid w:val="001E0898"/>
    <w:rsid w:val="001E58B1"/>
    <w:rsid w:val="0025685F"/>
    <w:rsid w:val="002860C0"/>
    <w:rsid w:val="00295F26"/>
    <w:rsid w:val="002A3673"/>
    <w:rsid w:val="002C5C09"/>
    <w:rsid w:val="003474D2"/>
    <w:rsid w:val="00356A8F"/>
    <w:rsid w:val="00366C69"/>
    <w:rsid w:val="00395979"/>
    <w:rsid w:val="003C7425"/>
    <w:rsid w:val="003E7E87"/>
    <w:rsid w:val="003F2037"/>
    <w:rsid w:val="0041491D"/>
    <w:rsid w:val="00424A60"/>
    <w:rsid w:val="00445116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748EB"/>
    <w:rsid w:val="00576C60"/>
    <w:rsid w:val="00594C32"/>
    <w:rsid w:val="005A0B24"/>
    <w:rsid w:val="005D3101"/>
    <w:rsid w:val="0060001F"/>
    <w:rsid w:val="00673B42"/>
    <w:rsid w:val="00684CAA"/>
    <w:rsid w:val="00695C84"/>
    <w:rsid w:val="006A343C"/>
    <w:rsid w:val="006D3B45"/>
    <w:rsid w:val="00700F16"/>
    <w:rsid w:val="0071223E"/>
    <w:rsid w:val="00716BF2"/>
    <w:rsid w:val="00784044"/>
    <w:rsid w:val="007A2FB3"/>
    <w:rsid w:val="007A79B2"/>
    <w:rsid w:val="007C27B2"/>
    <w:rsid w:val="007F25B4"/>
    <w:rsid w:val="007F495F"/>
    <w:rsid w:val="007F506C"/>
    <w:rsid w:val="00911997"/>
    <w:rsid w:val="009146BA"/>
    <w:rsid w:val="00914F42"/>
    <w:rsid w:val="0092294C"/>
    <w:rsid w:val="009814B1"/>
    <w:rsid w:val="009820D3"/>
    <w:rsid w:val="009B5593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B02E55"/>
    <w:rsid w:val="00B12242"/>
    <w:rsid w:val="00B123F1"/>
    <w:rsid w:val="00B14BF9"/>
    <w:rsid w:val="00B6647A"/>
    <w:rsid w:val="00BF336F"/>
    <w:rsid w:val="00C116E4"/>
    <w:rsid w:val="00C62E08"/>
    <w:rsid w:val="00C64E51"/>
    <w:rsid w:val="00C90617"/>
    <w:rsid w:val="00C9145F"/>
    <w:rsid w:val="00CB4EB2"/>
    <w:rsid w:val="00CD5A06"/>
    <w:rsid w:val="00D222AF"/>
    <w:rsid w:val="00D94C7C"/>
    <w:rsid w:val="00D968C9"/>
    <w:rsid w:val="00DC6230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2020-01-20T14:15:00Z</dcterms:created>
  <dcterms:modified xsi:type="dcterms:W3CDTF">2020-01-20T17:23:00Z</dcterms:modified>
</cp:coreProperties>
</file>